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445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445069">
              <w:rPr>
                <w:sz w:val="26"/>
                <w:szCs w:val="26"/>
              </w:rPr>
              <w:t>29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445069">
              <w:rPr>
                <w:sz w:val="26"/>
                <w:szCs w:val="26"/>
              </w:rPr>
              <w:t>8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8C7BD6">
              <w:rPr>
                <w:sz w:val="26"/>
                <w:szCs w:val="26"/>
              </w:rPr>
              <w:t>73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которым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среднеустановленного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55. В случае,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о работе по совместительству с таким гражданином также влечет за собой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 трудового (гражданско-правового) договора рассматривается подразделением кадровой службы государственного (муниципального)* органа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рассматривался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мерах по 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34"/>
      <w:bookmarkEnd w:id="1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6"/>
          <w:headerReference w:type="default" r:id="rId17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3" w:name="Par1"/>
      <w:bookmarkEnd w:id="3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Зарегистрировано в Минюсте России 15 ноября 2018 г. N 52698</w:t>
      </w:r>
    </w:p>
    <w:p w:rsidR="00445069" w:rsidRPr="003E1C81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Pr="003E1C81" w:rsidRDefault="00445069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от 29 октября 2018 г. N 673н</w:t>
      </w:r>
    </w:p>
    <w:p w:rsidR="00445069" w:rsidRPr="003E1C81" w:rsidRDefault="00445069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со </w:t>
      </w:r>
      <w:hyperlink r:id="rId18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статьей 8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Федерального закона от 25 декабря 2008 г.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273-ФЗ "О противодействии коррупции" (Собрание законодательства Российской Федерации, 2008, N 52, ст. 6228; 2011, N 29, ст. 4291; N 48,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6730; 2012, N 50, ст. 6954; N 53, ст. 7605; 2013, N 19, ст. 2329; N 40, ст. 5031; N 52, ст. 6961; 2014, N 52, ст. 7542; 2015, N 41, ст. 5639; N 45, ст. 6204; N 48, ст. 6720; 2016, N 7, ст. 912; N 27, ст. 4169; 2017, N 1, ст. 46; N 15, ст. 2139;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27, ст. 3929; 2018, N 1, ст. 7; N 24, ст. 3400; N 32, ст. 5100), </w:t>
      </w:r>
      <w:hyperlink r:id="rId19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перечнем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своих доходах, об имуществе и обязательствах имущественного характера,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557 (Собрание законодательства Российской Федерации, 2009, N 21,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2542; 2012, N 4, ст. 471; N 14, ст. 1616; 2014, N 27, ст. 3754; 2015, N 10,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1506; 2016, N 50, ст. 7077; 2017, N 5, ст. 776; N 27, ст. 4019; N 40, ст. 5820; 2018, N 28, ст. 4198), </w:t>
      </w:r>
      <w:hyperlink r:id="rId20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Реестром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36, ст. 4312; N 52, ст. 6534; 2010, N 3, ст. 276; N 4, ст. 371; N 12, ст. 1314;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15, ст. 1777; N 16, ст. 1874; 2011, N 5, ст. 711; N 48, ст. 6878; 2012, N 4,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ст. 471; N 8, ст. 992; N 15, ст. 1731; N 22, ст. 2754; N 27, ст. 3681; N 29, ст. 4071;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35, ст. 4783, 4787; N 44, ст. 5995; N 47, ст. 6460; N 50, ст. 7013; N 51, ст. 7169; 2013, N 22, ст. 2787; N 49, ст. 6397, 6400; 2014, N 18, ст. 2135; N 30, ст. 4281, 4285; N 31, ст. 4401; N 37, ст. 4938; N 44, ст. 6046; 2015, N 1, ст. 193; N 11,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1585, 1587; N 28, ст. 4216; 2016, N 12, ст. 1642; N 16, ст. 2202; N 31, ст. 4986; N 35, ст. 5302; N 42, ст. 5918; 2017, N 4, ст. 636; N 5, ст. 777; N 34, ст. 5265;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N 35, ст. 5333; 2018, N 7, ст. 1018; N 24, ст. 3504; N 25, ст. 3647; N 30, ст. 4716), приказываю: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Утвердить прилагаемый </w:t>
      </w:r>
      <w:hyperlink w:anchor="P3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перечень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(далее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Перечень).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Перечнем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федеральных государственных гражданских служащих вверенных им структурных подразделений.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Признать утратившим силу </w:t>
      </w:r>
      <w:hyperlink r:id="rId21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приказ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Министерства труда и социальной защиты Российской Федерации от 8 ноября 2017 г. N 773н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ноября 2017 г., регистрационный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N 49046).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069" w:rsidRPr="003E1C81" w:rsidRDefault="00445069" w:rsidP="004450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Утвержден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приказом Министерства труда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и социальной защиты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Российской Федерации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от 29 октября 2018 г. N 673н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bookmarkStart w:id="4" w:name="P37"/>
      <w:bookmarkEnd w:id="4"/>
      <w:r w:rsidRPr="003E1C81">
        <w:rPr>
          <w:color w:val="000000" w:themeColor="text1"/>
          <w:szCs w:val="28"/>
        </w:rPr>
        <w:t>ПЕРЕЧЕНЬ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r w:rsidRPr="003E1C81">
        <w:rPr>
          <w:color w:val="000000" w:themeColor="text1"/>
          <w:szCs w:val="28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r w:rsidRPr="003E1C81">
        <w:rPr>
          <w:color w:val="000000" w:themeColor="text1"/>
          <w:szCs w:val="28"/>
        </w:rPr>
        <w:t>ГРАЖДАНСКОЙ СЛУЖБЫ МИНИСТЕРСТВА ТРУДА И СОЦИАЛЬНОЙ ЗАЩИТЫ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РОССИЙСКОЙ ФЕДЕРАЦИИ, ПРИ ЗАМЕЩЕНИИ КОТОРЫХ ФЕДЕРАЛЬНЫЕ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ГОСУДАРСТВЕННЫЕ ГРАЖДАНСКИЕ СЛУЖАЩИЕ ОБЯЗАНЫ ПРЕДСТАВЛЯТЬ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 xml:space="preserve">СВЕДЕНИЯ О СВОИХ ДОХОДАХ, </w:t>
      </w:r>
      <w:r w:rsidR="003E1C81">
        <w:rPr>
          <w:color w:val="000000" w:themeColor="text1"/>
          <w:szCs w:val="28"/>
        </w:rPr>
        <w:br/>
      </w:r>
      <w:r w:rsidRPr="003E1C81">
        <w:rPr>
          <w:color w:val="000000" w:themeColor="text1"/>
          <w:szCs w:val="28"/>
        </w:rPr>
        <w:t>ОБ ИМУЩЕСТВЕ И ОБЯЗАТЕЛЬСТВАХ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 xml:space="preserve">ИМУЩЕСТВЕННОГО ХАРАКТЕРА, </w:t>
      </w:r>
      <w:r w:rsidR="003E1C81">
        <w:rPr>
          <w:color w:val="000000" w:themeColor="text1"/>
          <w:szCs w:val="28"/>
        </w:rPr>
        <w:br/>
      </w:r>
      <w:r w:rsidRPr="003E1C81">
        <w:rPr>
          <w:color w:val="000000" w:themeColor="text1"/>
          <w:szCs w:val="28"/>
        </w:rPr>
        <w:t>А ТАКЖЕ СВЕДЕНИЯ О ДОХОДАХ,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ОБ ИМУЩЕСТВЕ И ОБЯЗАТЕЛЬСТВАХ ИМУЩЕСТВЕННОГО ХАРАКТЕРА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СВОИХ СУПРУГИ (СУПРУГА) И НЕСОВЕРШЕННОЛЕТНИХ ДЕТЕЙ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1. Департамент комплексного анализа и прогнозирования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координации программ и научных исследований по труду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социальной защите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2. Департамент демографической политики и социальной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защиты населения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демографической политики и вопросов тендерного равенства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обеспечения мер социальной поддержки семей с детьми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политики в сфере социальной защиты отдельных категорий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граждан и взаимодействия с региональными органами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неправительственными организациями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социальной защиты ветеранов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социального обслуживания граждан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 (в должностные обязанности которого входят вопросы выплаты единовременного денежного поощрения лучших работников системы социального обслуживания, финансового обеспечения предоставления гражданам государственной социальной помощи в виде набора социальных услуг)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3. Департамент по делам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методологии разработки и реализации программ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реабилитации и социальной интеграции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сети подведомственных организаций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обеспечения инвалидов техническими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средствами реабилитации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медико-социальной экспертизы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реабилитации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методического обеспечения деятельности органов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государственной власти по выполнению международно-правовых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актов в сфере социальной защиты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социальной защиты граждан, пострадавших в результате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чрезвычайных ситуаций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4. Департамент оплаты труда, трудовых отношений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социального партнерства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оплаты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трудовых отношений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квалификаций и профессиональных стандартов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социального партнерства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и анализа трудовых отношений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5. Департамент условий 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стандартов безопасности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условий 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регулирования специальной оценки условий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6. Департамент занятости населения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безработицы и прогнозирования рынка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трудовой миграции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7. Департамент государственной политики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в сфере государственной и муниципальной службы,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противодействия коррупции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государственной службы и методологии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развития муниципальной службы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профессионального развития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государственных служащих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противодействия коррупции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на государственной службе и в организациях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нормативного правового регулирования вопросов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прохождения государственной службы и совершенствования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государственного управления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(в должностные обязанности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8. Департамент правовой и международной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юридического сопровождения деятельности Министерства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международного сотрудничества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стран СНГ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9. Департамент информационных технологий и обеспечения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проектной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государственных информационных систем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обеспечения проектной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безопасности информационных технологий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эксплуатации информационных систем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нормативного обеспечения информационных технологий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ресурсного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1 разряда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10. Департамент организации бюджетных процедур планирования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финансового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планирования, санкционирования и финансового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обеспечения функций Министерства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планирования и финансового обеспечения функций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подведомственных учреждений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организации бюджетных процедур и финансового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обеспечения межбюджетных трансфертов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учета бюджетных обязательств, осуществления расчетов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платежей, формирования сводной бюджетной отчетности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- заместитель главного бухгалтера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бюджетного учета, формирования бюджетной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финансовой отчетности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- заместитель главного бухгалтера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государственных закупок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имущественных отношений сети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подведомственных организаций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 и координации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инвестиционных проектов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методологии, координации и учета реализации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инвестиционных проектов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внутреннего финансового аудита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11. Департамент управления делами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организационного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(в должностные обязанности которого входит временное осуществление административно-хозяйственных функций)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административного и хозяйственного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государственной службы и кадров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профилактики коррупционных и иных правонарушений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12. Отдел по защите государственной тайны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13. Отдел по организации мероприятий по мобилизационной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подготовке и мобилизации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A44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19" w:rsidRDefault="00357B19">
      <w:r>
        <w:separator/>
      </w:r>
    </w:p>
  </w:endnote>
  <w:endnote w:type="continuationSeparator" w:id="0">
    <w:p w:rsidR="00357B19" w:rsidRDefault="0035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19" w:rsidRDefault="00357B19">
      <w:r>
        <w:separator/>
      </w:r>
    </w:p>
  </w:footnote>
  <w:footnote w:type="continuationSeparator" w:id="0">
    <w:p w:rsidR="00357B19" w:rsidRDefault="0035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9" w:rsidRDefault="00445069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069" w:rsidRDefault="004450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9" w:rsidRPr="00AD453F" w:rsidRDefault="00445069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3E0AB4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445069" w:rsidRDefault="00445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E1815"/>
    <w:rsid w:val="002F6BA1"/>
    <w:rsid w:val="002F78B1"/>
    <w:rsid w:val="00307942"/>
    <w:rsid w:val="00313677"/>
    <w:rsid w:val="00321AC4"/>
    <w:rsid w:val="00343D47"/>
    <w:rsid w:val="00357B19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0AB4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545D2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EE202E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EB2926CBF88E9432030CB4AFB4B67A696B4C9EBA99BD7514B160186E99E4A3F010543D032C557Fo00BL" TargetMode="External"/><Relationship Id="rId18" Type="http://schemas.openxmlformats.org/officeDocument/2006/relationships/hyperlink" Target="consultantplus://offline/ref=A3B95290E91A63D1DD684F6A35D6A71A3A255EEDB602330269E594BCED00C72AE31E89C42D17C5DA725487A40819223CE0588892HDe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95290E91A63D1DD684F6A35D6A71A3B2C5DE4B605330269E594BCED00C72AF11ED1C82C1C8F8A371F88A709H0eF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EB2926CBF88E9432030CB4AFB4B67A6A6B4B9AB79CBD7514B160186Eo90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A3B95290E91A63D1DD684F6A35D6A71A3A255EE4B202330269E594BCED00C72AE31E89C42F1C9188350ADEF64C522E3EFE448992C85B80BAHCe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EB2926CBF88E9432030CB4AFB4B67A696B4F9AB895BD7514B160186E99E4A3F010543Fo00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EB2926CBF88E9432030CB4AFB4B67A696B4C9EBA99BD7514B160186E99E4A3F010543D032C557Fo00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EB2926CBF88E9432030CB4AFB4B67A696B4C9EBA99BD7514B160186E99E4A3F010543D032C557Fo00BL" TargetMode="External"/><Relationship Id="rId19" Type="http://schemas.openxmlformats.org/officeDocument/2006/relationships/hyperlink" Target="consultantplus://offline/ref=A3B95290E91A63D1DD684F6A35D6A71A3A245FEBB000330269E594BCED00C72AE31E89C42F1C918B3F0ADEF64C522E3EFE448992C85B80BAHCe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44EB2926CBF88E9432030CB4AFB4B67A6A6B4D98B79FBD7514B160186E99E4A3F010543D032C557Fo00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70B6-19FA-45D7-8C41-BC193277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11308</Words>
  <Characters>64458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75615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Zvereva</cp:lastModifiedBy>
  <cp:revision>3</cp:revision>
  <cp:lastPrinted>2018-06-18T08:04:00Z</cp:lastPrinted>
  <dcterms:created xsi:type="dcterms:W3CDTF">2019-09-19T11:30:00Z</dcterms:created>
  <dcterms:modified xsi:type="dcterms:W3CDTF">2019-10-02T12:40:00Z</dcterms:modified>
</cp:coreProperties>
</file>